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6E3CCE" w:rsidP="00A01512">
      <w:pPr>
        <w:pStyle w:val="Standard"/>
        <w:jc w:val="center"/>
        <w:rPr>
          <w:rFonts w:ascii="Arial" w:hAnsi="Arial" w:cs="Arial"/>
        </w:rPr>
      </w:pPr>
      <w:r>
        <w:rPr>
          <w:rFonts w:ascii="Arial" w:hAnsi="Arial" w:cs="Arial"/>
          <w:b/>
          <w:bCs/>
        </w:rPr>
        <w:t>TOMADA DE PREÇO Nº00</w:t>
      </w:r>
      <w:r w:rsidR="0051122B">
        <w:rPr>
          <w:rFonts w:ascii="Arial" w:hAnsi="Arial" w:cs="Arial"/>
          <w:b/>
          <w:bCs/>
        </w:rPr>
        <w:t>4</w:t>
      </w:r>
      <w:r w:rsidR="00A01512" w:rsidRPr="00A01512">
        <w:rPr>
          <w:rFonts w:ascii="Arial" w:hAnsi="Arial" w:cs="Arial"/>
          <w:b/>
          <w:bCs/>
        </w:rPr>
        <w:t>/</w:t>
      </w:r>
      <w:r w:rsidR="00AD510B">
        <w:rPr>
          <w:rFonts w:ascii="Arial" w:hAnsi="Arial" w:cs="Arial"/>
          <w:b/>
          <w:bCs/>
        </w:rPr>
        <w:t>2016</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sidR="00831A9F">
        <w:rPr>
          <w:rFonts w:ascii="Arial" w:hAnsi="Arial" w:cs="Arial"/>
          <w:b/>
          <w:bCs/>
        </w:rPr>
        <w:t>00</w:t>
      </w:r>
      <w:r w:rsidR="0051122B">
        <w:rPr>
          <w:rFonts w:ascii="Arial" w:hAnsi="Arial" w:cs="Arial"/>
          <w:b/>
          <w:bCs/>
        </w:rPr>
        <w:t>6</w:t>
      </w:r>
      <w:r>
        <w:rPr>
          <w:rFonts w:ascii="Arial" w:hAnsi="Arial" w:cs="Arial"/>
          <w:b/>
          <w:bCs/>
        </w:rPr>
        <w:t>/</w:t>
      </w:r>
      <w:r w:rsidR="00AD510B">
        <w:rPr>
          <w:rFonts w:ascii="Arial" w:hAnsi="Arial" w:cs="Arial"/>
          <w:b/>
          <w:bCs/>
        </w:rPr>
        <w:t>2016</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2C0C2C">
        <w:rPr>
          <w:rFonts w:ascii="Arial" w:hAnsi="Arial" w:cs="Arial"/>
        </w:rPr>
        <w:t>1</w:t>
      </w:r>
      <w:r w:rsidR="00831A9F">
        <w:rPr>
          <w:rFonts w:ascii="Arial" w:hAnsi="Arial" w:cs="Arial"/>
        </w:rPr>
        <w:t>1</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AD510B">
        <w:rPr>
          <w:rFonts w:ascii="Arial" w:hAnsi="Arial" w:cs="Arial"/>
        </w:rPr>
        <w:t>03</w:t>
      </w:r>
      <w:r w:rsidR="00FE1807">
        <w:rPr>
          <w:rFonts w:ascii="Arial" w:hAnsi="Arial" w:cs="Arial"/>
        </w:rPr>
        <w:t xml:space="preserve"> de </w:t>
      </w:r>
      <w:r w:rsidR="00AD510B">
        <w:rPr>
          <w:rFonts w:ascii="Arial" w:hAnsi="Arial" w:cs="Arial"/>
        </w:rPr>
        <w:t>março</w:t>
      </w:r>
      <w:r w:rsidR="00FE1807">
        <w:rPr>
          <w:rFonts w:ascii="Arial" w:hAnsi="Arial" w:cs="Arial"/>
        </w:rPr>
        <w:t xml:space="preserve"> de </w:t>
      </w:r>
      <w:r w:rsidR="00AD510B">
        <w:rPr>
          <w:rFonts w:ascii="Arial" w:hAnsi="Arial" w:cs="Arial"/>
        </w:rPr>
        <w:t>2016</w:t>
      </w:r>
      <w:r w:rsidRPr="00A01512">
        <w:rPr>
          <w:rFonts w:ascii="Arial" w:hAnsi="Arial" w:cs="Arial"/>
        </w:rPr>
        <w:t xml:space="preserve">, na Sala de Reuniões da Comissão Permanente de Licitação, </w:t>
      </w:r>
      <w:r w:rsidR="00FE1807">
        <w:rPr>
          <w:rFonts w:ascii="Arial" w:hAnsi="Arial" w:cs="Arial"/>
        </w:rPr>
        <w:t>no endereço supracitado</w:t>
      </w:r>
      <w:r w:rsidRPr="00A01512">
        <w:rPr>
          <w:rFonts w:ascii="Arial" w:hAnsi="Arial" w:cs="Arial"/>
        </w:rPr>
        <w:t xml:space="preserve">, a sessão de abertura do procedimento licitatório na modalidade </w:t>
      </w:r>
      <w:r w:rsidRPr="00A01512">
        <w:rPr>
          <w:rFonts w:ascii="Arial" w:hAnsi="Arial" w:cs="Arial"/>
          <w:b/>
        </w:rPr>
        <w:t xml:space="preserve">TOMADA DE PREÇO Nº. </w:t>
      </w:r>
      <w:r w:rsidR="00831A9F">
        <w:rPr>
          <w:rFonts w:ascii="Arial" w:hAnsi="Arial" w:cs="Arial"/>
          <w:b/>
        </w:rPr>
        <w:t>004</w:t>
      </w:r>
      <w:r w:rsidR="00FE1807">
        <w:rPr>
          <w:rFonts w:ascii="Arial" w:hAnsi="Arial" w:cs="Arial"/>
          <w:b/>
        </w:rPr>
        <w:t>/</w:t>
      </w:r>
      <w:r w:rsidR="00AD510B">
        <w:rPr>
          <w:rFonts w:ascii="Arial" w:hAnsi="Arial" w:cs="Arial"/>
          <w:b/>
        </w:rPr>
        <w:t>2016</w:t>
      </w:r>
      <w:r w:rsidRPr="00A01512">
        <w:rPr>
          <w:rFonts w:ascii="Arial" w:hAnsi="Arial" w:cs="Arial"/>
        </w:rPr>
        <w:t xml:space="preserve">, tipo </w:t>
      </w:r>
      <w:r w:rsidRPr="00A01512">
        <w:rPr>
          <w:rFonts w:ascii="Arial" w:hAnsi="Arial" w:cs="Arial"/>
          <w:b/>
        </w:rPr>
        <w:t xml:space="preserve">MENOR PREÇO </w:t>
      </w:r>
      <w:r w:rsidR="0032127D">
        <w:rPr>
          <w:rFonts w:ascii="Arial" w:hAnsi="Arial" w:cs="Arial"/>
          <w:b/>
        </w:rPr>
        <w:t>POR LOTE</w:t>
      </w:r>
      <w:r w:rsidRPr="00A01512">
        <w:rPr>
          <w:rFonts w:ascii="Arial" w:hAnsi="Arial" w:cs="Arial"/>
        </w:rPr>
        <w:t xml:space="preserve">, para </w:t>
      </w:r>
      <w:r w:rsidR="00CC1127" w:rsidRPr="00CC1127">
        <w:rPr>
          <w:rFonts w:ascii="Verdana" w:hAnsi="Verdana"/>
        </w:rPr>
        <w:t xml:space="preserve">Contratação com empresa para </w:t>
      </w:r>
      <w:r w:rsidR="00AE41E5" w:rsidRPr="00831A9F">
        <w:rPr>
          <w:rFonts w:ascii="Arial" w:hAnsi="Arial" w:cs="Arial"/>
          <w:b/>
        </w:rPr>
        <w:t>Aquisição de Material esportivo e brinquedos educativos</w:t>
      </w:r>
      <w:bookmarkStart w:id="0" w:name="_GoBack"/>
      <w:bookmarkEnd w:id="0"/>
      <w:r w:rsidR="00612528" w:rsidRPr="00612528">
        <w:rPr>
          <w:rFonts w:ascii="Arial" w:hAnsi="Arial" w:cs="Arial"/>
        </w:rPr>
        <w:t xml:space="preserve">, </w:t>
      </w:r>
      <w:r w:rsidRPr="00A01512">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A01512">
        <w:rPr>
          <w:rFonts w:ascii="Arial" w:hAnsi="Arial" w:cs="Arial"/>
        </w:rPr>
        <w:t xml:space="preserve">Os envelopes contendo a </w:t>
      </w:r>
      <w:r w:rsidRPr="00A01512">
        <w:rPr>
          <w:rFonts w:ascii="Arial" w:hAnsi="Arial" w:cs="Arial"/>
          <w:b/>
        </w:rPr>
        <w:t xml:space="preserve">DOCUMENTAÇÃO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1.0 – OBJETO</w:t>
      </w:r>
    </w:p>
    <w:p w:rsidR="00A01512" w:rsidRPr="00831A9F" w:rsidRDefault="0032127D" w:rsidP="00A01512">
      <w:pPr>
        <w:pStyle w:val="Standard"/>
        <w:jc w:val="both"/>
        <w:rPr>
          <w:rFonts w:ascii="Arial" w:hAnsi="Arial" w:cs="Arial"/>
          <w:b/>
        </w:rPr>
      </w:pPr>
      <w:r w:rsidRPr="00831A9F">
        <w:rPr>
          <w:rFonts w:ascii="Arial" w:hAnsi="Arial" w:cs="Arial"/>
        </w:rPr>
        <w:t xml:space="preserve">Contratação com empresa para: </w:t>
      </w:r>
      <w:r w:rsidR="00831A9F" w:rsidRPr="00831A9F">
        <w:rPr>
          <w:rFonts w:ascii="Arial" w:hAnsi="Arial" w:cs="Arial"/>
          <w:b/>
        </w:rPr>
        <w:t>Aquisição de Material esportivo e brinquedos educativos</w:t>
      </w:r>
      <w:r w:rsidR="00A01512" w:rsidRPr="00831A9F">
        <w:rPr>
          <w:rFonts w:ascii="Arial" w:hAnsi="Arial" w:cs="Arial"/>
          <w:b/>
        </w:rPr>
        <w:t>.</w:t>
      </w:r>
    </w:p>
    <w:p w:rsidR="00A01512" w:rsidRPr="002C0C2C"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5185A"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a contratação estima-</w:t>
      </w:r>
      <w:r w:rsidR="00D15F2E" w:rsidRPr="00A5185A">
        <w:rPr>
          <w:rFonts w:ascii="Arial" w:hAnsi="Arial" w:cs="Arial"/>
        </w:rPr>
        <w:t xml:space="preserve">se em </w:t>
      </w:r>
      <w:r w:rsidR="00A5185A" w:rsidRPr="00A5185A">
        <w:rPr>
          <w:rFonts w:ascii="Arial" w:hAnsi="Arial" w:cs="Arial"/>
          <w:color w:val="000000"/>
        </w:rPr>
        <w:t xml:space="preserve">R$ </w:t>
      </w:r>
      <w:r w:rsidR="002C0C2C">
        <w:rPr>
          <w:rFonts w:ascii="Arial" w:hAnsi="Arial" w:cs="Arial"/>
          <w:color w:val="000000"/>
        </w:rPr>
        <w:t>1</w:t>
      </w:r>
      <w:r w:rsidR="00831A9F">
        <w:rPr>
          <w:rFonts w:ascii="Arial" w:hAnsi="Arial" w:cs="Arial"/>
          <w:color w:val="000000"/>
        </w:rPr>
        <w:t>5</w:t>
      </w:r>
      <w:r w:rsidR="002C0C2C">
        <w:rPr>
          <w:rFonts w:ascii="Arial" w:hAnsi="Arial" w:cs="Arial"/>
          <w:color w:val="000000"/>
        </w:rPr>
        <w:t>0.000,00</w:t>
      </w:r>
      <w:r w:rsidR="00A5185A" w:rsidRPr="00A5185A">
        <w:rPr>
          <w:rFonts w:ascii="Arial" w:hAnsi="Arial" w:cs="Arial"/>
          <w:color w:val="000000"/>
        </w:rPr>
        <w:t xml:space="preserve"> </w:t>
      </w:r>
      <w:r w:rsidR="00432373" w:rsidRPr="00A5185A">
        <w:rPr>
          <w:rFonts w:ascii="Arial" w:hAnsi="Arial" w:cs="Arial"/>
        </w:rPr>
        <w:t>(</w:t>
      </w:r>
      <w:r w:rsidR="002C0C2C">
        <w:rPr>
          <w:rFonts w:ascii="Arial" w:hAnsi="Arial" w:cs="Arial"/>
        </w:rPr>
        <w:t xml:space="preserve">cento e </w:t>
      </w:r>
      <w:r w:rsidR="00831A9F">
        <w:rPr>
          <w:rFonts w:ascii="Arial" w:hAnsi="Arial" w:cs="Arial"/>
        </w:rPr>
        <w:t>cinquenta</w:t>
      </w:r>
      <w:r w:rsidR="002C0C2C">
        <w:rPr>
          <w:rFonts w:ascii="Arial" w:hAnsi="Arial" w:cs="Arial"/>
        </w:rPr>
        <w:t xml:space="preserve"> mil reais</w:t>
      </w:r>
      <w:r w:rsidR="00432373" w:rsidRPr="00A5185A">
        <w:rPr>
          <w:rFonts w:ascii="Arial" w:hAnsi="Arial" w:cs="Arial"/>
        </w:rPr>
        <w:t>)</w:t>
      </w:r>
      <w:r w:rsidR="002224AB" w:rsidRPr="00A5185A">
        <w:rPr>
          <w:rFonts w:ascii="Arial" w:hAnsi="Arial" w:cs="Arial"/>
        </w:rPr>
        <w:t>.</w:t>
      </w:r>
    </w:p>
    <w:p w:rsidR="00A01512" w:rsidRPr="00A5185A"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 xml:space="preserve">recursos </w:t>
      </w:r>
      <w:r w:rsidRPr="00CB487F">
        <w:rPr>
          <w:rFonts w:ascii="Arial" w:hAnsi="Arial" w:cs="Arial"/>
        </w:rPr>
        <w:t>provenientes do</w:t>
      </w:r>
      <w:r w:rsidR="002224AB" w:rsidRPr="00CB487F">
        <w:rPr>
          <w:rFonts w:ascii="Arial" w:hAnsi="Arial" w:cs="Arial"/>
        </w:rPr>
        <w:t>:</w:t>
      </w:r>
      <w:r w:rsidRPr="00CB487F">
        <w:rPr>
          <w:rFonts w:ascii="Arial" w:hAnsi="Arial" w:cs="Arial"/>
        </w:rPr>
        <w:t xml:space="preserve"> </w:t>
      </w:r>
      <w:r w:rsidR="006E3CCE" w:rsidRPr="00C0009C">
        <w:rPr>
          <w:rFonts w:ascii="Arial" w:hAnsi="Arial" w:cs="Arial"/>
        </w:rPr>
        <w:t>FPM – Receita Própria, Conta Movimento, ICMS, IPVA, ITR, 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
        </w:rPr>
        <w:lastRenderedPageBreak/>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DA6AF6">
        <w:rPr>
          <w:rFonts w:ascii="Arial" w:hAnsi="Arial" w:cs="Arial"/>
          <w:b/>
          <w:bCs/>
        </w:rPr>
        <w:t xml:space="preserve"> </w:t>
      </w:r>
      <w:r w:rsidR="00831A9F">
        <w:rPr>
          <w:rFonts w:ascii="Arial" w:hAnsi="Arial" w:cs="Arial"/>
          <w:b/>
          <w:bCs/>
        </w:rPr>
        <w:t>004</w:t>
      </w:r>
      <w:r w:rsidR="00DA6AF6">
        <w:rPr>
          <w:rFonts w:ascii="Arial" w:hAnsi="Arial" w:cs="Arial"/>
          <w:b/>
          <w:bCs/>
        </w:rPr>
        <w:t>/</w:t>
      </w:r>
      <w:r w:rsidR="00AD510B">
        <w:rPr>
          <w:rFonts w:ascii="Arial" w:hAnsi="Arial" w:cs="Arial"/>
          <w:b/>
          <w:bCs/>
        </w:rPr>
        <w:t>2016</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831A9F">
        <w:rPr>
          <w:rFonts w:ascii="Arial" w:hAnsi="Arial" w:cs="Arial"/>
          <w:b/>
          <w:bCs/>
        </w:rPr>
        <w:t>004</w:t>
      </w:r>
      <w:r w:rsidR="00FE1807">
        <w:rPr>
          <w:rFonts w:ascii="Arial" w:hAnsi="Arial" w:cs="Arial"/>
          <w:b/>
          <w:bCs/>
        </w:rPr>
        <w:t>/</w:t>
      </w:r>
      <w:r w:rsidR="00AD510B">
        <w:rPr>
          <w:rFonts w:ascii="Arial" w:hAnsi="Arial" w:cs="Arial"/>
          <w:b/>
          <w:bCs/>
        </w:rPr>
        <w:t>2016</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6.1.2 – Documentos relativos à habilitação jurídica:</w:t>
      </w: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lastRenderedPageBreak/>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Pr="00A01512" w:rsidRDefault="00A01512" w:rsidP="00A01512">
      <w:pPr>
        <w:pStyle w:val="Corpodetexto2"/>
        <w:spacing w:after="0" w:line="240" w:lineRule="auto"/>
        <w:rPr>
          <w:rFonts w:ascii="Arial" w:hAnsi="Arial" w:cs="Arial"/>
        </w:rPr>
      </w:pPr>
      <w:r w:rsidRPr="00A01512">
        <w:rPr>
          <w:rFonts w:ascii="Arial" w:hAnsi="Arial" w:cs="Arial"/>
          <w:b/>
        </w:rPr>
        <w:t>6.1.4 – Documentos relativos à qualificação econômico-financeira:</w:t>
      </w:r>
    </w:p>
    <w:p w:rsidR="00A01512" w:rsidRP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no domicílio da pessoa física; </w:t>
      </w:r>
      <w:proofErr w:type="gramStart"/>
      <w:r w:rsidRPr="00A01512">
        <w:rPr>
          <w:rFonts w:ascii="Arial" w:hAnsi="Arial"/>
        </w:rPr>
        <w:t>e</w:t>
      </w:r>
      <w:proofErr w:type="gramEnd"/>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6.1.5 – Outros documentos: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w:t>
      </w:r>
      <w:r w:rsidR="006E3CCE">
        <w:rPr>
          <w:rFonts w:ascii="Arial" w:hAnsi="Arial"/>
        </w:rPr>
        <w:t>l, será assegurado o prazo de 05</w:t>
      </w:r>
      <w:r w:rsidRPr="00A01512">
        <w:rPr>
          <w:rFonts w:ascii="Arial" w:hAnsi="Arial"/>
        </w:rPr>
        <w:t xml:space="preserve"> (</w:t>
      </w:r>
      <w:r w:rsidR="006E3CCE">
        <w:rPr>
          <w:rFonts w:ascii="Arial" w:hAnsi="Arial"/>
        </w:rPr>
        <w:t>cinco</w:t>
      </w:r>
      <w:r w:rsidRPr="00A01512">
        <w:rPr>
          <w:rFonts w:ascii="Arial" w:hAnsi="Arial"/>
        </w:rPr>
        <w:t xml:space="preserve">) dias úteis, cujo termo inicial corresponderá ao momento em que a licitante for declarada vencedora do certame, prorrogáveis por igual período, a critério da CPL, para a regularização da </w:t>
      </w:r>
      <w:r w:rsidRPr="00A01512">
        <w:rPr>
          <w:rFonts w:ascii="Arial" w:hAnsi="Arial"/>
        </w:rPr>
        <w:lastRenderedPageBreak/>
        <w:t>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DA6AF6">
        <w:rPr>
          <w:rFonts w:ascii="Arial" w:hAnsi="Arial" w:cs="Arial"/>
          <w:b/>
        </w:rPr>
        <w:t xml:space="preserve">O Nº </w:t>
      </w:r>
      <w:r w:rsidR="00831A9F">
        <w:rPr>
          <w:rFonts w:ascii="Arial" w:hAnsi="Arial" w:cs="Arial"/>
          <w:b/>
        </w:rPr>
        <w:t>004</w:t>
      </w:r>
      <w:r w:rsidRPr="00A01512">
        <w:rPr>
          <w:rFonts w:ascii="Arial" w:hAnsi="Arial" w:cs="Arial"/>
          <w:b/>
        </w:rPr>
        <w:t>/</w:t>
      </w:r>
      <w:r w:rsidR="00AD510B">
        <w:rPr>
          <w:rFonts w:ascii="Arial" w:hAnsi="Arial" w:cs="Arial"/>
          <w:b/>
        </w:rPr>
        <w:t>2016</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 xml:space="preserve">8.3 – Serão abertos, primeiramente, os envelopes contendo a documentação </w:t>
      </w:r>
      <w:r w:rsidRPr="00A01512">
        <w:rPr>
          <w:rFonts w:ascii="Arial" w:hAnsi="Arial" w:cs="Arial"/>
        </w:rPr>
        <w:lastRenderedPageBreak/>
        <w:t>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9.0 – DO CRITÉRIO DE JULGAMENTO</w:t>
      </w: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32127D">
        <w:rPr>
          <w:rFonts w:ascii="Arial" w:hAnsi="Arial" w:cs="Arial"/>
          <w:b/>
        </w:rPr>
        <w:t>POR LOTE</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P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A01512" w:rsidRPr="00A01512" w:rsidRDefault="00A01512" w:rsidP="00A01512">
      <w:pPr>
        <w:pStyle w:val="Standard"/>
        <w:jc w:val="both"/>
        <w:rPr>
          <w:rFonts w:ascii="Arial" w:hAnsi="Arial" w:cs="Arial"/>
        </w:rPr>
      </w:pPr>
      <w:r w:rsidRPr="00A01512">
        <w:rPr>
          <w:rFonts w:ascii="Arial" w:hAnsi="Arial" w:cs="Arial"/>
          <w:b/>
        </w:rPr>
        <w:t>10.0 – DOS RECURSOS</w:t>
      </w: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 xml:space="preserve">Somente serão aceitos recursos previstos na Lei Federal nº. 8666/93, desde que apresentados dentro do prazo legal, na secção de Protocolo desta </w:t>
      </w:r>
      <w:r w:rsidRPr="00A01512">
        <w:rPr>
          <w:rFonts w:ascii="Arial" w:hAnsi="Arial" w:cs="Arial"/>
        </w:rPr>
        <w:lastRenderedPageBreak/>
        <w:t>Prefeitura.</w:t>
      </w:r>
    </w:p>
    <w:p w:rsidR="00A01512" w:rsidRPr="00A01512" w:rsidRDefault="00A01512" w:rsidP="00A01512">
      <w:pPr>
        <w:pStyle w:val="Standard"/>
        <w:rPr>
          <w:rFonts w:ascii="Arial" w:hAnsi="Arial" w:cs="Arial"/>
        </w:rPr>
      </w:pPr>
    </w:p>
    <w:p w:rsidR="00A01512" w:rsidRPr="00A01512" w:rsidRDefault="00A01512" w:rsidP="00A01512">
      <w:pPr>
        <w:pStyle w:val="Standard"/>
        <w:ind w:right="-81"/>
        <w:jc w:val="both"/>
        <w:rPr>
          <w:rFonts w:ascii="Arial" w:hAnsi="Arial" w:cs="Arial"/>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11.5 – A firma fornecedora ficará obrigada a re</w:t>
      </w:r>
      <w:r w:rsidR="00784ECB">
        <w:rPr>
          <w:rFonts w:ascii="Arial" w:hAnsi="Arial" w:cs="Arial"/>
        </w:rPr>
        <w:t>entregar</w:t>
      </w:r>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Pr="00A01512" w:rsidRDefault="00A01512" w:rsidP="00A01512">
      <w:pPr>
        <w:pStyle w:val="Standard"/>
        <w:ind w:right="-81"/>
        <w:jc w:val="both"/>
        <w:rPr>
          <w:rFonts w:ascii="Arial" w:hAnsi="Arial" w:cs="Arial"/>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lastRenderedPageBreak/>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Pr="00A01512" w:rsidRDefault="00A01512" w:rsidP="00A01512">
      <w:pPr>
        <w:pStyle w:val="Standard"/>
        <w:rPr>
          <w:rFonts w:ascii="Arial" w:hAnsi="Arial" w:cs="Arial"/>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DA6AF6">
        <w:rPr>
          <w:rFonts w:ascii="Arial" w:hAnsi="Arial" w:cs="Arial"/>
        </w:rPr>
        <w:t>de 12 (doze)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lastRenderedPageBreak/>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18.15 - Os casos omissos desta TOMADA DE PREÇO serão decididos e </w:t>
      </w:r>
      <w:r w:rsidRPr="00A01512">
        <w:rPr>
          <w:rFonts w:ascii="Arial" w:hAnsi="Arial" w:cs="Arial"/>
        </w:rPr>
        <w:lastRenderedPageBreak/>
        <w:t>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A5185A">
        <w:rPr>
          <w:rFonts w:ascii="Arial" w:hAnsi="Arial" w:cs="Arial"/>
        </w:rPr>
        <w:t>02</w:t>
      </w:r>
      <w:r w:rsidR="00A01512" w:rsidRPr="00A01512">
        <w:rPr>
          <w:rFonts w:ascii="Arial" w:hAnsi="Arial" w:cs="Arial"/>
        </w:rPr>
        <w:t xml:space="preserve"> de </w:t>
      </w:r>
      <w:r w:rsidR="00A5185A">
        <w:rPr>
          <w:rFonts w:ascii="Arial" w:hAnsi="Arial" w:cs="Arial"/>
        </w:rPr>
        <w:t>fevereiro</w:t>
      </w:r>
      <w:r w:rsidR="00DA6AF6">
        <w:rPr>
          <w:rFonts w:ascii="Arial" w:hAnsi="Arial" w:cs="Arial"/>
        </w:rPr>
        <w:t xml:space="preserve"> de </w:t>
      </w:r>
      <w:proofErr w:type="gramStart"/>
      <w:r w:rsidR="00AD510B">
        <w:rPr>
          <w:rFonts w:ascii="Arial" w:hAnsi="Arial" w:cs="Arial"/>
        </w:rPr>
        <w:t>2016</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32127D" w:rsidRDefault="0032127D" w:rsidP="0032127D"/>
    <w:tbl>
      <w:tblPr>
        <w:tblpPr w:leftFromText="141" w:rightFromText="141" w:horzAnchor="page" w:tblpX="366" w:tblpY="585"/>
        <w:tblW w:w="11269" w:type="dxa"/>
        <w:tblCellMar>
          <w:left w:w="70" w:type="dxa"/>
          <w:right w:w="70" w:type="dxa"/>
        </w:tblCellMar>
        <w:tblLook w:val="04A0" w:firstRow="1" w:lastRow="0" w:firstColumn="1" w:lastColumn="0" w:noHBand="0" w:noVBand="1"/>
      </w:tblPr>
      <w:tblGrid>
        <w:gridCol w:w="607"/>
        <w:gridCol w:w="5399"/>
        <w:gridCol w:w="727"/>
        <w:gridCol w:w="1134"/>
        <w:gridCol w:w="1417"/>
        <w:gridCol w:w="1985"/>
      </w:tblGrid>
      <w:tr w:rsidR="00831A9F" w:rsidRPr="00F72D7D" w:rsidTr="00785393">
        <w:trPr>
          <w:trHeight w:val="300"/>
        </w:trPr>
        <w:tc>
          <w:tcPr>
            <w:tcW w:w="11269" w:type="dxa"/>
            <w:gridSpan w:val="6"/>
            <w:tcBorders>
              <w:top w:val="nil"/>
              <w:left w:val="nil"/>
              <w:bottom w:val="single" w:sz="4" w:space="0" w:color="auto"/>
              <w:right w:val="nil"/>
            </w:tcBorders>
            <w:shd w:val="clear" w:color="auto" w:fill="auto"/>
            <w:noWrap/>
            <w:vAlign w:val="bottom"/>
            <w:hideMark/>
          </w:tcPr>
          <w:p w:rsidR="00831A9F" w:rsidRPr="00F72D7D" w:rsidRDefault="00831A9F" w:rsidP="00785393">
            <w:pPr>
              <w:jc w:val="center"/>
              <w:rPr>
                <w:rFonts w:ascii="Calibri" w:hAnsi="Calibri" w:cs="Calibri"/>
                <w:color w:val="000000"/>
              </w:rPr>
            </w:pPr>
            <w:r w:rsidRPr="00F72D7D">
              <w:rPr>
                <w:rFonts w:ascii="Calibri" w:hAnsi="Calibri" w:cs="Calibri"/>
                <w:color w:val="000000"/>
                <w:sz w:val="22"/>
                <w:szCs w:val="22"/>
              </w:rPr>
              <w:t>LOTE I - MATERIAL ESPORTIVO</w:t>
            </w:r>
          </w:p>
        </w:tc>
      </w:tr>
      <w:tr w:rsidR="00831A9F" w:rsidRPr="00F72D7D" w:rsidTr="00785393">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lastRenderedPageBreak/>
              <w:t>Item</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Discriminação</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QUANT</w:t>
            </w:r>
          </w:p>
        </w:tc>
        <w:tc>
          <w:tcPr>
            <w:tcW w:w="141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V. UNIT.</w:t>
            </w:r>
          </w:p>
        </w:tc>
        <w:tc>
          <w:tcPr>
            <w:tcW w:w="1985"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V. TOTAL</w:t>
            </w: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1</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Apito profissional metal c/ cordão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2</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Bico p/ encher bola dupla ação c/ rosca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3</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Bola de campo não oficial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4</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Bola de campo oficial</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5</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Bola de futebol society oficial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6</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Bola de borracha 500g</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7</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Bola de futsal não oficial</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8</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Bola de futsal oficial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9</w:t>
            </w:r>
            <w:proofErr w:type="gramEnd"/>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Bola de volleyball não oficial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Bola de volleyball oficial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11</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Bomba de ar com válvula para bola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Caneleira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13</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Chut. Couro Sintético com trava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14</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Chut. Sociaty couro Sintético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Colchonete p/ ginástica (90 x 40 x 40 cm)</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16</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Colete para treino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17</w:t>
            </w:r>
          </w:p>
        </w:tc>
        <w:tc>
          <w:tcPr>
            <w:tcW w:w="5399" w:type="dxa"/>
            <w:tcBorders>
              <w:top w:val="nil"/>
              <w:left w:val="nil"/>
              <w:bottom w:val="nil"/>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Cones 50 cm</w:t>
            </w:r>
          </w:p>
        </w:tc>
        <w:tc>
          <w:tcPr>
            <w:tcW w:w="727" w:type="dxa"/>
            <w:tcBorders>
              <w:top w:val="nil"/>
              <w:left w:val="nil"/>
              <w:bottom w:val="nil"/>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nil"/>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50</w:t>
            </w:r>
          </w:p>
        </w:tc>
        <w:tc>
          <w:tcPr>
            <w:tcW w:w="1417" w:type="dxa"/>
            <w:tcBorders>
              <w:top w:val="nil"/>
              <w:left w:val="nil"/>
              <w:bottom w:val="nil"/>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18</w:t>
            </w:r>
          </w:p>
        </w:tc>
        <w:tc>
          <w:tcPr>
            <w:tcW w:w="5399" w:type="dxa"/>
            <w:tcBorders>
              <w:top w:val="single" w:sz="4" w:space="0" w:color="auto"/>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Corda de pular com punho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19</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Equipe completa </w:t>
            </w:r>
            <w:proofErr w:type="gramStart"/>
            <w:r w:rsidRPr="00F72D7D">
              <w:rPr>
                <w:rFonts w:cs="Arial"/>
                <w:color w:val="000000"/>
              </w:rPr>
              <w:t xml:space="preserve">( </w:t>
            </w:r>
            <w:proofErr w:type="gramEnd"/>
            <w:r w:rsidRPr="00F72D7D">
              <w:rPr>
                <w:rFonts w:cs="Arial"/>
                <w:color w:val="000000"/>
              </w:rPr>
              <w:t xml:space="preserve">camisa e short) para dezesseis jogadores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Conj.</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Jogo de </w:t>
            </w:r>
            <w:proofErr w:type="gramStart"/>
            <w:r w:rsidRPr="00F72D7D">
              <w:rPr>
                <w:rFonts w:cs="Arial"/>
                <w:color w:val="000000"/>
              </w:rPr>
              <w:t>cartões(</w:t>
            </w:r>
            <w:proofErr w:type="gramEnd"/>
            <w:r w:rsidRPr="00F72D7D">
              <w:rPr>
                <w:rFonts w:cs="Arial"/>
                <w:color w:val="000000"/>
              </w:rPr>
              <w:t xml:space="preserve"> vermelho e amarelo )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Jogo</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50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21</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Luvas para goleiro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22</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ouro pequena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23</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prata pequena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ouro média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25</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prata média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26</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ouro grande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27</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Medalha prata grande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28</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Rede de futebol de campo Fio </w:t>
            </w:r>
            <w:proofErr w:type="gramStart"/>
            <w:r w:rsidRPr="00F72D7D">
              <w:rPr>
                <w:rFonts w:cs="Arial"/>
                <w:color w:val="000000"/>
              </w:rPr>
              <w:t>4</w:t>
            </w:r>
            <w:proofErr w:type="gramEnd"/>
            <w:r w:rsidRPr="00F72D7D">
              <w:rPr>
                <w:rFonts w:cs="Arial"/>
                <w:color w:val="000000"/>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29</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Rede de futsal malha 12 fio </w:t>
            </w:r>
            <w:proofErr w:type="gramStart"/>
            <w:r w:rsidRPr="00F72D7D">
              <w:rPr>
                <w:rFonts w:cs="Arial"/>
                <w:color w:val="000000"/>
              </w:rPr>
              <w:t>4</w:t>
            </w:r>
            <w:proofErr w:type="gramEnd"/>
            <w:r w:rsidRPr="00F72D7D">
              <w:rPr>
                <w:rFonts w:cs="Arial"/>
                <w:color w:val="000000"/>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30</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Rede de volley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31</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Rede de futebol society fio </w:t>
            </w:r>
            <w:proofErr w:type="gramStart"/>
            <w:r w:rsidRPr="00F72D7D">
              <w:rPr>
                <w:rFonts w:cs="Arial"/>
                <w:color w:val="000000"/>
              </w:rPr>
              <w:t>4</w:t>
            </w:r>
            <w:proofErr w:type="gramEnd"/>
            <w:r w:rsidRPr="00F72D7D">
              <w:rPr>
                <w:rFonts w:cs="Arial"/>
                <w:color w:val="000000"/>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32</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Tênis para futebol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33</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Tornozeleira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34</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105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5</w:t>
            </w:r>
            <w:proofErr w:type="gramEnd"/>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35</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22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25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37</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35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38</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42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39</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50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40</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55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lastRenderedPageBreak/>
              <w:t>41</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60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42</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70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43</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76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44</w:t>
            </w:r>
          </w:p>
        </w:tc>
        <w:tc>
          <w:tcPr>
            <w:tcW w:w="5399"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Troféu 90 cm </w:t>
            </w:r>
          </w:p>
        </w:tc>
        <w:tc>
          <w:tcPr>
            <w:tcW w:w="727"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tcBorders>
              <w:top w:val="nil"/>
              <w:left w:val="nil"/>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1417"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831A9F" w:rsidRPr="00F72D7D" w:rsidRDefault="00831A9F" w:rsidP="00785393">
            <w:pPr>
              <w:rPr>
                <w:rFonts w:cs="Arial"/>
                <w:color w:val="000000"/>
              </w:rPr>
            </w:pPr>
          </w:p>
        </w:tc>
      </w:tr>
      <w:tr w:rsidR="00831A9F" w:rsidRPr="00F72D7D" w:rsidTr="00785393">
        <w:trPr>
          <w:trHeight w:val="300"/>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TOTAL</w:t>
            </w:r>
          </w:p>
        </w:tc>
        <w:tc>
          <w:tcPr>
            <w:tcW w:w="1985" w:type="dxa"/>
            <w:tcBorders>
              <w:top w:val="nil"/>
              <w:left w:val="nil"/>
              <w:bottom w:val="single" w:sz="4" w:space="0" w:color="auto"/>
              <w:right w:val="single" w:sz="4" w:space="0" w:color="auto"/>
            </w:tcBorders>
            <w:shd w:val="clear" w:color="auto" w:fill="auto"/>
            <w:noWrap/>
            <w:vAlign w:val="center"/>
            <w:hideMark/>
          </w:tcPr>
          <w:p w:rsidR="00831A9F" w:rsidRPr="00F72D7D" w:rsidRDefault="00831A9F" w:rsidP="00831A9F">
            <w:pPr>
              <w:rPr>
                <w:rFonts w:cs="Arial"/>
                <w:color w:val="000000"/>
              </w:rPr>
            </w:pPr>
            <w:r w:rsidRPr="00F72D7D">
              <w:rPr>
                <w:rFonts w:cs="Arial"/>
                <w:color w:val="000000"/>
              </w:rPr>
              <w:t xml:space="preserve"> </w:t>
            </w:r>
          </w:p>
        </w:tc>
      </w:tr>
    </w:tbl>
    <w:p w:rsidR="00831A9F" w:rsidRDefault="00831A9F" w:rsidP="00831A9F"/>
    <w:p w:rsidR="00831A9F" w:rsidRDefault="00831A9F" w:rsidP="00831A9F"/>
    <w:p w:rsidR="00831A9F" w:rsidRDefault="00831A9F" w:rsidP="00831A9F"/>
    <w:p w:rsidR="00831A9F" w:rsidRDefault="00831A9F" w:rsidP="00831A9F"/>
    <w:tbl>
      <w:tblPr>
        <w:tblW w:w="1119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5329"/>
        <w:gridCol w:w="727"/>
        <w:gridCol w:w="1134"/>
        <w:gridCol w:w="1418"/>
        <w:gridCol w:w="1984"/>
      </w:tblGrid>
      <w:tr w:rsidR="00831A9F" w:rsidRPr="00F72D7D" w:rsidTr="00785393">
        <w:trPr>
          <w:trHeight w:val="300"/>
        </w:trPr>
        <w:tc>
          <w:tcPr>
            <w:tcW w:w="11199" w:type="dxa"/>
            <w:gridSpan w:val="6"/>
            <w:shd w:val="clear" w:color="auto" w:fill="auto"/>
            <w:noWrap/>
            <w:vAlign w:val="bottom"/>
            <w:hideMark/>
          </w:tcPr>
          <w:p w:rsidR="00831A9F" w:rsidRPr="00F72D7D" w:rsidRDefault="00831A9F" w:rsidP="00785393">
            <w:pPr>
              <w:jc w:val="center"/>
              <w:rPr>
                <w:rFonts w:ascii="Calibri" w:hAnsi="Calibri" w:cs="Calibri"/>
                <w:color w:val="000000"/>
              </w:rPr>
            </w:pPr>
            <w:r w:rsidRPr="00F72D7D">
              <w:rPr>
                <w:rFonts w:ascii="Calibri" w:hAnsi="Calibri" w:cs="Calibri"/>
                <w:color w:val="000000"/>
                <w:sz w:val="22"/>
                <w:szCs w:val="22"/>
              </w:rPr>
              <w:t>LOTE II - JOGOS EDUCATIVOS</w:t>
            </w:r>
          </w:p>
        </w:tc>
      </w:tr>
      <w:tr w:rsidR="00831A9F" w:rsidRPr="00F72D7D" w:rsidTr="00785393">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Item</w:t>
            </w:r>
          </w:p>
        </w:tc>
        <w:tc>
          <w:tcPr>
            <w:tcW w:w="5329"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Discriminação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QUANT</w:t>
            </w:r>
          </w:p>
        </w:tc>
        <w:tc>
          <w:tcPr>
            <w:tcW w:w="1418"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V. UNIT.</w:t>
            </w:r>
          </w:p>
        </w:tc>
        <w:tc>
          <w:tcPr>
            <w:tcW w:w="198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V. TOTAL</w:t>
            </w: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1</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Alfabeto Ilustrado 78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2</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Alfabeto móvel 72 pçs EVA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3</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Alfanumérico 72 pçs Eva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4</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Bambolê</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5</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Boneca na caixa 18 x </w:t>
            </w:r>
            <w:proofErr w:type="gramStart"/>
            <w:r w:rsidRPr="00F72D7D">
              <w:rPr>
                <w:rFonts w:cs="Arial"/>
                <w:color w:val="000000"/>
              </w:rPr>
              <w:t>8</w:t>
            </w:r>
            <w:proofErr w:type="gramEnd"/>
            <w:r w:rsidRPr="00F72D7D">
              <w:rPr>
                <w:rFonts w:cs="Arial"/>
                <w:color w:val="000000"/>
              </w:rPr>
              <w:t xml:space="preserve"> cm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6</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Bolinha de sabão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7</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Boliche 23 cm c/ 6 pinos e </w:t>
            </w:r>
            <w:proofErr w:type="gramStart"/>
            <w:r w:rsidRPr="00F72D7D">
              <w:rPr>
                <w:rFonts w:cs="Arial"/>
                <w:color w:val="000000"/>
              </w:rPr>
              <w:t>2</w:t>
            </w:r>
            <w:proofErr w:type="gramEnd"/>
            <w:r w:rsidRPr="00F72D7D">
              <w:rPr>
                <w:rFonts w:cs="Arial"/>
                <w:color w:val="000000"/>
              </w:rPr>
              <w:t xml:space="preserve"> bolas</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8</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Blocos lógicos 48 pçs madeira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proofErr w:type="gramStart"/>
            <w:r w:rsidRPr="00F72D7D">
              <w:rPr>
                <w:rFonts w:cs="Arial"/>
                <w:color w:val="000000"/>
              </w:rPr>
              <w:t>9</w:t>
            </w:r>
            <w:proofErr w:type="gramEnd"/>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Brincando com letras cx c/ 36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60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Brincando de Engenheiro </w:t>
            </w:r>
            <w:proofErr w:type="gramStart"/>
            <w:r w:rsidRPr="00F72D7D">
              <w:rPr>
                <w:rFonts w:cs="Arial"/>
                <w:color w:val="000000"/>
              </w:rPr>
              <w:t>1</w:t>
            </w:r>
            <w:proofErr w:type="gramEnd"/>
            <w:r w:rsidRPr="00F72D7D">
              <w:rPr>
                <w:rFonts w:cs="Arial"/>
                <w:color w:val="000000"/>
              </w:rPr>
              <w:t xml:space="preserve"> c/42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48</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11</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Brincando de Engenheiro </w:t>
            </w:r>
            <w:proofErr w:type="gramStart"/>
            <w:r w:rsidRPr="00F72D7D">
              <w:rPr>
                <w:rFonts w:cs="Arial"/>
                <w:color w:val="000000"/>
              </w:rPr>
              <w:t>2</w:t>
            </w:r>
            <w:proofErr w:type="gramEnd"/>
            <w:r w:rsidRPr="00F72D7D">
              <w:rPr>
                <w:rFonts w:cs="Arial"/>
                <w:color w:val="000000"/>
              </w:rPr>
              <w:t xml:space="preserve"> c/ 53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48</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Brincando de Engenheiro </w:t>
            </w:r>
            <w:proofErr w:type="gramStart"/>
            <w:r w:rsidRPr="00F72D7D">
              <w:rPr>
                <w:rFonts w:cs="Arial"/>
                <w:color w:val="000000"/>
              </w:rPr>
              <w:t>3</w:t>
            </w:r>
            <w:proofErr w:type="gramEnd"/>
            <w:r w:rsidRPr="00F72D7D">
              <w:rPr>
                <w:rFonts w:cs="Arial"/>
                <w:color w:val="000000"/>
              </w:rPr>
              <w:t xml:space="preserve"> c/ 120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48</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13</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Brinquedo vai e vem plástico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14</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Corda elástica 8 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60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15</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Cubo mágico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16</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Dama e trilha cx de madeira e pçs de madeia 30 x 30 cm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17</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fração 28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18</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cores 28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19</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trânsito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Dama e trilha 35 cm plástico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21</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Dominó adição 28 pçs MDF </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22</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alfabetização 28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23</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divisão silábica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multiplicação 28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 xml:space="preserve">Unid. </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25</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Dominó plástico colorido c/ 28 pçs</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26</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Flauta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27</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Jogo da velha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28</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Grandes jogos (</w:t>
            </w:r>
            <w:proofErr w:type="gramStart"/>
            <w:r w:rsidRPr="00F72D7D">
              <w:rPr>
                <w:rFonts w:cs="Arial"/>
                <w:color w:val="000000"/>
              </w:rPr>
              <w:t>ludo,</w:t>
            </w:r>
            <w:proofErr w:type="gramEnd"/>
            <w:r w:rsidRPr="00F72D7D">
              <w:rPr>
                <w:rFonts w:cs="Arial"/>
                <w:color w:val="000000"/>
              </w:rPr>
              <w:t>dama,xadrez e trilha)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29</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Jogo de botão c/ 02 times</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Par</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30</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Jogo de Ludo tabuleiro madeira e pçs plásticas 23 x 23 cm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60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lastRenderedPageBreak/>
              <w:t>31</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Jogo de xadrez e trilha 35 cm plasico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80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32</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Memória alfabetização 52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33</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Meu 1° Quebra cabeça EVA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60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34</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 Monta Blocos de plástico</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35</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Memórias e Brinquedos 40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60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Palavras Cruzadas MDF 72 pçs</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 xml:space="preserve">Und. </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37</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Pega Varetas</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38</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Peteca c/ pena e base de borracha 22 cm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200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39</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Quebra </w:t>
            </w:r>
            <w:proofErr w:type="gramStart"/>
            <w:r w:rsidRPr="00F72D7D">
              <w:rPr>
                <w:rFonts w:cs="Arial"/>
                <w:color w:val="000000"/>
              </w:rPr>
              <w:t>cabeça silábico 10</w:t>
            </w:r>
            <w:proofErr w:type="gramEnd"/>
            <w:r w:rsidRPr="00F72D7D">
              <w:rPr>
                <w:rFonts w:cs="Arial"/>
                <w:color w:val="000000"/>
              </w:rPr>
              <w:t xml:space="preserve"> pçs MDF</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40</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Roleta Montreal</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41</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Resta </w:t>
            </w:r>
            <w:proofErr w:type="gramStart"/>
            <w:r w:rsidRPr="00F72D7D">
              <w:rPr>
                <w:rFonts w:cs="Arial"/>
                <w:color w:val="000000"/>
              </w:rPr>
              <w:t>1</w:t>
            </w:r>
            <w:proofErr w:type="gramEnd"/>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42</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Tapete Letras EVA c/ 10 pçs</w:t>
            </w:r>
            <w:proofErr w:type="gramStart"/>
            <w:r w:rsidRPr="00F72D7D">
              <w:rPr>
                <w:rFonts w:cs="Arial"/>
                <w:color w:val="000000"/>
              </w:rPr>
              <w:t xml:space="preserve">  </w:t>
            </w:r>
            <w:proofErr w:type="gramEnd"/>
            <w:r w:rsidRPr="00F72D7D">
              <w:rPr>
                <w:rFonts w:cs="Arial"/>
                <w:color w:val="000000"/>
              </w:rPr>
              <w:t>30 cm</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43</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Tapete Números EVA c/ 10 pçs 30 cm </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36</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44</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Viola plástica</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120</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831A9F">
        <w:trPr>
          <w:trHeight w:val="300"/>
        </w:trPr>
        <w:tc>
          <w:tcPr>
            <w:tcW w:w="60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45</w:t>
            </w:r>
          </w:p>
        </w:tc>
        <w:tc>
          <w:tcPr>
            <w:tcW w:w="5329" w:type="dxa"/>
            <w:shd w:val="clear" w:color="auto" w:fill="auto"/>
            <w:vAlign w:val="center"/>
            <w:hideMark/>
          </w:tcPr>
          <w:p w:rsidR="00831A9F" w:rsidRPr="00F72D7D" w:rsidRDefault="00831A9F" w:rsidP="00785393">
            <w:pPr>
              <w:rPr>
                <w:rFonts w:cs="Arial"/>
                <w:color w:val="000000"/>
              </w:rPr>
            </w:pPr>
            <w:r w:rsidRPr="00F72D7D">
              <w:rPr>
                <w:rFonts w:cs="Arial"/>
                <w:color w:val="000000"/>
              </w:rPr>
              <w:t xml:space="preserve">Xadrex escolar tab. Madeira e pçs plástico </w:t>
            </w:r>
          </w:p>
        </w:tc>
        <w:tc>
          <w:tcPr>
            <w:tcW w:w="727"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Unid.</w:t>
            </w:r>
          </w:p>
        </w:tc>
        <w:tc>
          <w:tcPr>
            <w:tcW w:w="1134" w:type="dxa"/>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24</w:t>
            </w:r>
          </w:p>
        </w:tc>
        <w:tc>
          <w:tcPr>
            <w:tcW w:w="1418" w:type="dxa"/>
            <w:shd w:val="clear" w:color="auto" w:fill="auto"/>
            <w:noWrap/>
            <w:vAlign w:val="center"/>
          </w:tcPr>
          <w:p w:rsidR="00831A9F" w:rsidRPr="00F72D7D" w:rsidRDefault="00831A9F" w:rsidP="00785393">
            <w:pPr>
              <w:rPr>
                <w:rFonts w:cs="Arial"/>
                <w:color w:val="000000"/>
              </w:rPr>
            </w:pPr>
          </w:p>
        </w:tc>
        <w:tc>
          <w:tcPr>
            <w:tcW w:w="1984" w:type="dxa"/>
            <w:shd w:val="clear" w:color="auto" w:fill="auto"/>
            <w:noWrap/>
            <w:vAlign w:val="center"/>
          </w:tcPr>
          <w:p w:rsidR="00831A9F" w:rsidRPr="00F72D7D" w:rsidRDefault="00831A9F" w:rsidP="00785393">
            <w:pPr>
              <w:rPr>
                <w:rFonts w:cs="Arial"/>
                <w:color w:val="000000"/>
              </w:rPr>
            </w:pPr>
          </w:p>
        </w:tc>
      </w:tr>
      <w:tr w:rsidR="00831A9F" w:rsidRPr="00F72D7D" w:rsidTr="00785393">
        <w:trPr>
          <w:trHeight w:val="300"/>
        </w:trPr>
        <w:tc>
          <w:tcPr>
            <w:tcW w:w="9215" w:type="dxa"/>
            <w:gridSpan w:val="5"/>
            <w:shd w:val="clear" w:color="auto" w:fill="auto"/>
            <w:vAlign w:val="center"/>
            <w:hideMark/>
          </w:tcPr>
          <w:p w:rsidR="00831A9F" w:rsidRPr="00F72D7D" w:rsidRDefault="00831A9F" w:rsidP="00785393">
            <w:pPr>
              <w:jc w:val="center"/>
              <w:rPr>
                <w:rFonts w:cs="Arial"/>
                <w:color w:val="000000"/>
              </w:rPr>
            </w:pPr>
            <w:r w:rsidRPr="00F72D7D">
              <w:rPr>
                <w:rFonts w:cs="Arial"/>
                <w:color w:val="000000"/>
              </w:rPr>
              <w:t>TOTAL</w:t>
            </w:r>
          </w:p>
        </w:tc>
        <w:tc>
          <w:tcPr>
            <w:tcW w:w="1984" w:type="dxa"/>
            <w:shd w:val="clear" w:color="auto" w:fill="auto"/>
            <w:noWrap/>
            <w:vAlign w:val="center"/>
            <w:hideMark/>
          </w:tcPr>
          <w:p w:rsidR="00831A9F" w:rsidRPr="00F72D7D" w:rsidRDefault="00831A9F" w:rsidP="00831A9F">
            <w:pPr>
              <w:rPr>
                <w:rFonts w:cs="Arial"/>
                <w:color w:val="000000"/>
              </w:rPr>
            </w:pPr>
            <w:r w:rsidRPr="00F72D7D">
              <w:rPr>
                <w:rFonts w:cs="Arial"/>
                <w:color w:val="000000"/>
              </w:rPr>
              <w:t xml:space="preserve"> </w:t>
            </w:r>
          </w:p>
        </w:tc>
      </w:tr>
    </w:tbl>
    <w:p w:rsidR="00831A9F" w:rsidRPr="00F72D7D" w:rsidRDefault="00831A9F" w:rsidP="00831A9F"/>
    <w:p w:rsidR="002C0C2C" w:rsidRDefault="002C0C2C" w:rsidP="002C0C2C">
      <w:pPr>
        <w:jc w:val="center"/>
        <w:rPr>
          <w:u w:val="single"/>
        </w:rPr>
      </w:pPr>
    </w:p>
    <w:p w:rsidR="002C0C2C" w:rsidRDefault="002C0C2C" w:rsidP="002C0C2C">
      <w:pPr>
        <w:jc w:val="center"/>
        <w:rPr>
          <w:u w:val="single"/>
        </w:rPr>
      </w:pPr>
    </w:p>
    <w:p w:rsidR="002C0C2C" w:rsidRPr="008B16D4" w:rsidRDefault="002C0C2C" w:rsidP="002C0C2C">
      <w:pPr>
        <w:jc w:val="center"/>
        <w:rPr>
          <w:u w:val="single"/>
        </w:rPr>
      </w:pPr>
    </w:p>
    <w:p w:rsidR="0032127D" w:rsidRPr="00F72D7D" w:rsidRDefault="0032127D" w:rsidP="0032127D">
      <w:pPr>
        <w:jc w:val="center"/>
      </w:pPr>
    </w:p>
    <w:p w:rsidR="00A5185A" w:rsidRPr="00772CA4" w:rsidRDefault="00A5185A" w:rsidP="00A5185A">
      <w:pPr>
        <w:jc w:val="center"/>
        <w:rPr>
          <w:b/>
          <w:u w:val="single"/>
        </w:rPr>
      </w:pPr>
    </w:p>
    <w:p w:rsidR="00DA6AF6" w:rsidRDefault="00DA6AF6"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2C0C2C" w:rsidRDefault="002C0C2C" w:rsidP="00A01512">
      <w:pPr>
        <w:pStyle w:val="Standard"/>
        <w:jc w:val="center"/>
        <w:rPr>
          <w:rFonts w:ascii="Arial" w:hAnsi="Arial" w:cs="Arial"/>
          <w:b/>
        </w:rPr>
      </w:pPr>
    </w:p>
    <w:p w:rsidR="00A5185A" w:rsidRDefault="00A5185A"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831A9F" w:rsidRDefault="00831A9F"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00DA6AF6">
        <w:rPr>
          <w:rFonts w:ascii="Arial" w:hAnsi="Arial" w:cs="Arial"/>
          <w:b/>
        </w:rPr>
        <w:t>. /</w:t>
      </w:r>
      <w:r w:rsidR="00AD510B">
        <w:rPr>
          <w:rFonts w:ascii="Arial" w:hAnsi="Arial" w:cs="Arial"/>
          <w:b/>
        </w:rPr>
        <w:t>2016</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00DA6AF6">
        <w:rPr>
          <w:rFonts w:ascii="Arial" w:hAnsi="Arial" w:cs="Arial"/>
          <w:b/>
        </w:rPr>
        <w:t>. /</w:t>
      </w:r>
      <w:r w:rsidR="00AD510B">
        <w:rPr>
          <w:rFonts w:ascii="Arial" w:hAnsi="Arial" w:cs="Arial"/>
          <w:b/>
        </w:rPr>
        <w:t>2016</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w:t>
      </w:r>
      <w:r w:rsidR="00AD510B">
        <w:rPr>
          <w:rFonts w:ascii="Arial" w:hAnsi="Arial" w:cs="Arial"/>
          <w:color w:val="00000A"/>
        </w:rPr>
        <w:t>2016</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w:t>
      </w:r>
      <w:r w:rsidR="00AD510B">
        <w:rPr>
          <w:rFonts w:ascii="Arial" w:hAnsi="Arial" w:cs="Arial"/>
          <w:b/>
        </w:rPr>
        <w:t>2016</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00DA6AF6">
        <w:rPr>
          <w:rFonts w:ascii="Arial" w:hAnsi="Arial" w:cs="Arial"/>
          <w:b/>
        </w:rPr>
        <w:t>/</w:t>
      </w:r>
      <w:r w:rsidR="00AD510B">
        <w:rPr>
          <w:rFonts w:ascii="Arial" w:hAnsi="Arial" w:cs="Arial"/>
          <w:b/>
        </w:rPr>
        <w:t>2016</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.(endereço completo)...., inscrita no CNPJ sob n.°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w:t>
      </w:r>
      <w:r w:rsidR="00DA6AF6">
        <w:rPr>
          <w:rFonts w:ascii="Arial" w:hAnsi="Arial" w:cs="Arial"/>
        </w:rPr>
        <w:t xml:space="preserve">......................... </w:t>
      </w:r>
      <w:proofErr w:type="gramStart"/>
      <w:r w:rsidR="00DA6AF6">
        <w:rPr>
          <w:rFonts w:ascii="Arial" w:hAnsi="Arial" w:cs="Arial"/>
        </w:rPr>
        <w:t>de</w:t>
      </w:r>
      <w:r w:rsidR="00AD510B">
        <w:rPr>
          <w:rFonts w:ascii="Arial" w:hAnsi="Arial" w:cs="Arial"/>
        </w:rPr>
        <w:t>2016</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r w:rsidRPr="00A01512">
        <w:rPr>
          <w:rFonts w:ascii="Arial" w:hAnsi="Arial" w:cs="Arial"/>
        </w:rPr>
        <w:t>N.°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w:t>
      </w:r>
      <w:r w:rsidR="00AD510B">
        <w:rPr>
          <w:rFonts w:cs="Arial"/>
        </w:rPr>
        <w:t>2016</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w:t>
      </w:r>
      <w:r w:rsidR="00AD510B">
        <w:rPr>
          <w:rFonts w:cs="Arial"/>
        </w:rPr>
        <w:t>2016</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w:t>
      </w:r>
      <w:r w:rsidR="00831A9F">
        <w:rPr>
          <w:rFonts w:cs="Arial"/>
        </w:rPr>
        <w:t>004</w:t>
      </w:r>
      <w:r>
        <w:rPr>
          <w:rFonts w:cs="Arial"/>
        </w:rPr>
        <w:t>-19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Heli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CB487F" w:rsidRPr="00CB487F" w:rsidRDefault="00CB487F" w:rsidP="00CB487F"/>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00AD510B">
        <w:rPr>
          <w:rFonts w:cs="Arial"/>
        </w:rPr>
        <w:t>2016</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w:t>
      </w:r>
      <w:r w:rsidR="00AD510B">
        <w:rPr>
          <w:rFonts w:cs="Arial"/>
        </w:rPr>
        <w:t>2016</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arts.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Nos casos de rescisão, previstos nesta cláusula, serão observados os procedimentos previstos nos arts.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w:t>
      </w:r>
      <w:r w:rsidR="00AD510B">
        <w:rPr>
          <w:rFonts w:cs="Arial"/>
        </w:rPr>
        <w:t>2016</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de </w:t>
      </w:r>
      <w:proofErr w:type="gramStart"/>
      <w:r w:rsidR="00AD510B">
        <w:rPr>
          <w:rFonts w:ascii="Arial" w:hAnsi="Arial" w:cs="Arial"/>
          <w:b w:val="0"/>
          <w:color w:val="auto"/>
          <w:sz w:val="24"/>
          <w:szCs w:val="24"/>
        </w:rPr>
        <w:t>2016</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r>
        <w:rPr>
          <w:rFonts w:cs="Arial"/>
        </w:rPr>
        <w:t>Heli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6F3B8E"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8E" w:rsidRDefault="006F3B8E" w:rsidP="00B41DE0">
      <w:r>
        <w:separator/>
      </w:r>
    </w:p>
  </w:endnote>
  <w:endnote w:type="continuationSeparator" w:id="0">
    <w:p w:rsidR="006F3B8E" w:rsidRDefault="006F3B8E"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w:t>
    </w:r>
    <w:r w:rsidR="00831A9F">
      <w:rPr>
        <w:rFonts w:cstheme="minorHAnsi"/>
        <w:sz w:val="18"/>
        <w:szCs w:val="18"/>
      </w:rPr>
      <w:t>004</w:t>
    </w:r>
    <w:r w:rsidRPr="004E3FA6">
      <w:rPr>
        <w:rFonts w:cstheme="minorHAnsi"/>
        <w:sz w:val="18"/>
        <w:szCs w:val="18"/>
      </w:rPr>
      <w:t>-19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8E" w:rsidRDefault="006F3B8E" w:rsidP="00B41DE0">
      <w:r>
        <w:separator/>
      </w:r>
    </w:p>
  </w:footnote>
  <w:footnote w:type="continuationSeparator" w:id="0">
    <w:p w:rsidR="006F3B8E" w:rsidRDefault="006F3B8E"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7">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4">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6">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8">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1"/>
  </w:num>
  <w:num w:numId="2">
    <w:abstractNumId w:val="12"/>
  </w:num>
  <w:num w:numId="3">
    <w:abstractNumId w:val="22"/>
  </w:num>
  <w:num w:numId="4">
    <w:abstractNumId w:val="8"/>
  </w:num>
  <w:num w:numId="5">
    <w:abstractNumId w:val="13"/>
  </w:num>
  <w:num w:numId="6">
    <w:abstractNumId w:val="1"/>
  </w:num>
  <w:num w:numId="7">
    <w:abstractNumId w:val="20"/>
  </w:num>
  <w:num w:numId="8">
    <w:abstractNumId w:val="5"/>
  </w:num>
  <w:num w:numId="9">
    <w:abstractNumId w:val="6"/>
  </w:num>
  <w:num w:numId="10">
    <w:abstractNumId w:val="17"/>
  </w:num>
  <w:num w:numId="11">
    <w:abstractNumId w:val="23"/>
  </w:num>
  <w:num w:numId="12">
    <w:abstractNumId w:val="19"/>
  </w:num>
  <w:num w:numId="13">
    <w:abstractNumId w:val="21"/>
  </w:num>
  <w:num w:numId="14">
    <w:abstractNumId w:val="24"/>
  </w:num>
  <w:num w:numId="15">
    <w:abstractNumId w:val="18"/>
  </w:num>
  <w:num w:numId="16">
    <w:abstractNumId w:val="9"/>
  </w:num>
  <w:num w:numId="17">
    <w:abstractNumId w:val="10"/>
  </w:num>
  <w:num w:numId="18">
    <w:abstractNumId w:val="7"/>
  </w:num>
  <w:num w:numId="19">
    <w:abstractNumId w:val="18"/>
    <w:lvlOverride w:ilvl="0">
      <w:startOverride w:val="1"/>
    </w:lvlOverride>
  </w:num>
  <w:num w:numId="20">
    <w:abstractNumId w:val="9"/>
    <w:lvlOverride w:ilvl="0">
      <w:startOverride w:val="1"/>
    </w:lvlOverride>
  </w:num>
  <w:num w:numId="21">
    <w:abstractNumId w:val="18"/>
    <w:lvlOverride w:ilvl="0">
      <w:startOverride w:val="1"/>
    </w:lvlOverride>
  </w:num>
  <w:num w:numId="22">
    <w:abstractNumId w:val="10"/>
    <w:lvlOverride w:ilvl="0">
      <w:startOverride w:val="1"/>
    </w:lvlOverride>
  </w:num>
  <w:num w:numId="23">
    <w:abstractNumId w:val="7"/>
    <w:lvlOverride w:ilvl="0">
      <w:startOverride w:val="1"/>
    </w:lvlOverride>
  </w:num>
  <w:num w:numId="24">
    <w:abstractNumId w:val="3"/>
  </w:num>
  <w:num w:numId="25">
    <w:abstractNumId w:val="4"/>
  </w:num>
  <w:num w:numId="26">
    <w:abstractNumId w:val="3"/>
    <w:lvlOverride w:ilvl="0">
      <w:startOverride w:val="1"/>
    </w:lvlOverride>
  </w:num>
  <w:num w:numId="27">
    <w:abstractNumId w:val="4"/>
    <w:lvlOverride w:ilvl="0">
      <w:startOverride w:val="1"/>
    </w:lvlOverride>
  </w:num>
  <w:num w:numId="28">
    <w:abstractNumId w:val="2"/>
  </w:num>
  <w:num w:numId="29">
    <w:abstractNumId w:val="2"/>
    <w:lvlOverride w:ilvl="0">
      <w:startOverride w:val="1"/>
    </w:lvlOverride>
  </w:num>
  <w:num w:numId="30">
    <w:abstractNumId w:val="15"/>
  </w:num>
  <w:num w:numId="31">
    <w:abstractNumId w:val="14"/>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3126"/>
    <w:rsid w:val="00096882"/>
    <w:rsid w:val="000A45F7"/>
    <w:rsid w:val="000C0481"/>
    <w:rsid w:val="00112441"/>
    <w:rsid w:val="00126EBC"/>
    <w:rsid w:val="001A408B"/>
    <w:rsid w:val="001B19E0"/>
    <w:rsid w:val="001B4A75"/>
    <w:rsid w:val="001C7682"/>
    <w:rsid w:val="0022238C"/>
    <w:rsid w:val="002224AB"/>
    <w:rsid w:val="002C0C2C"/>
    <w:rsid w:val="002D4F2A"/>
    <w:rsid w:val="0032127D"/>
    <w:rsid w:val="0032223E"/>
    <w:rsid w:val="003309D3"/>
    <w:rsid w:val="003A4211"/>
    <w:rsid w:val="003C6090"/>
    <w:rsid w:val="003C7E5C"/>
    <w:rsid w:val="003E168A"/>
    <w:rsid w:val="003F50F8"/>
    <w:rsid w:val="00432373"/>
    <w:rsid w:val="00472448"/>
    <w:rsid w:val="004E3FA6"/>
    <w:rsid w:val="004E578C"/>
    <w:rsid w:val="0051122B"/>
    <w:rsid w:val="0051766A"/>
    <w:rsid w:val="00546887"/>
    <w:rsid w:val="005A36F8"/>
    <w:rsid w:val="005B2629"/>
    <w:rsid w:val="005C3597"/>
    <w:rsid w:val="00612528"/>
    <w:rsid w:val="006234D8"/>
    <w:rsid w:val="006A2843"/>
    <w:rsid w:val="006E3CCE"/>
    <w:rsid w:val="006F3B8E"/>
    <w:rsid w:val="006F6B01"/>
    <w:rsid w:val="00704F82"/>
    <w:rsid w:val="00740D4F"/>
    <w:rsid w:val="00756985"/>
    <w:rsid w:val="00784ECB"/>
    <w:rsid w:val="007A2A79"/>
    <w:rsid w:val="007B7C24"/>
    <w:rsid w:val="007D1B7B"/>
    <w:rsid w:val="00831A9F"/>
    <w:rsid w:val="00921F00"/>
    <w:rsid w:val="00942BF6"/>
    <w:rsid w:val="00946F70"/>
    <w:rsid w:val="00967916"/>
    <w:rsid w:val="00990217"/>
    <w:rsid w:val="009C095A"/>
    <w:rsid w:val="009C4514"/>
    <w:rsid w:val="009D79C9"/>
    <w:rsid w:val="009E15D8"/>
    <w:rsid w:val="009E7BDF"/>
    <w:rsid w:val="009F77B0"/>
    <w:rsid w:val="00A01512"/>
    <w:rsid w:val="00A10928"/>
    <w:rsid w:val="00A157E5"/>
    <w:rsid w:val="00A5185A"/>
    <w:rsid w:val="00A93A32"/>
    <w:rsid w:val="00AB61D9"/>
    <w:rsid w:val="00AD510B"/>
    <w:rsid w:val="00AE41E5"/>
    <w:rsid w:val="00B14E62"/>
    <w:rsid w:val="00B34AA2"/>
    <w:rsid w:val="00B41DE0"/>
    <w:rsid w:val="00B7546E"/>
    <w:rsid w:val="00B905FE"/>
    <w:rsid w:val="00BB3C5C"/>
    <w:rsid w:val="00BC4800"/>
    <w:rsid w:val="00C37808"/>
    <w:rsid w:val="00C45833"/>
    <w:rsid w:val="00C57E2E"/>
    <w:rsid w:val="00C71702"/>
    <w:rsid w:val="00C76751"/>
    <w:rsid w:val="00C81B7D"/>
    <w:rsid w:val="00C83761"/>
    <w:rsid w:val="00CB487F"/>
    <w:rsid w:val="00CC1127"/>
    <w:rsid w:val="00D15F2E"/>
    <w:rsid w:val="00D5082E"/>
    <w:rsid w:val="00D75C40"/>
    <w:rsid w:val="00DA6AF6"/>
    <w:rsid w:val="00DC519F"/>
    <w:rsid w:val="00E1160C"/>
    <w:rsid w:val="00E15A63"/>
    <w:rsid w:val="00E43FDD"/>
    <w:rsid w:val="00E4762B"/>
    <w:rsid w:val="00E533EF"/>
    <w:rsid w:val="00E6488C"/>
    <w:rsid w:val="00E94360"/>
    <w:rsid w:val="00EC15FF"/>
    <w:rsid w:val="00EF49E5"/>
    <w:rsid w:val="00F02B2E"/>
    <w:rsid w:val="00FB2C6C"/>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uiPriority w:val="99"/>
    <w:rsid w:val="00A01512"/>
    <w:pPr>
      <w:spacing w:after="120" w:line="480" w:lineRule="auto"/>
    </w:pPr>
  </w:style>
  <w:style w:type="character" w:customStyle="1" w:styleId="Corpodetexto2Char">
    <w:name w:val="Corpo de texto 2 Char"/>
    <w:basedOn w:val="Fontepargpadro"/>
    <w:link w:val="Corpodetexto2"/>
    <w:uiPriority w:val="99"/>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uiPriority w:val="9"/>
    <w:semiHidden/>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uiPriority w:val="99"/>
    <w:rsid w:val="00A01512"/>
    <w:pPr>
      <w:spacing w:after="120" w:line="480" w:lineRule="auto"/>
    </w:pPr>
  </w:style>
  <w:style w:type="character" w:customStyle="1" w:styleId="Corpodetexto2Char">
    <w:name w:val="Corpo de texto 2 Char"/>
    <w:basedOn w:val="Fontepargpadro"/>
    <w:link w:val="Corpodetexto2"/>
    <w:uiPriority w:val="99"/>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uiPriority w:val="9"/>
    <w:semiHidden/>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6107</Words>
  <Characters>32983</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4</cp:revision>
  <dcterms:created xsi:type="dcterms:W3CDTF">2016-02-22T23:45:00Z</dcterms:created>
  <dcterms:modified xsi:type="dcterms:W3CDTF">2016-02-24T14:06:00Z</dcterms:modified>
</cp:coreProperties>
</file>